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DE71F" w14:textId="77777777" w:rsidR="00321BCA" w:rsidRPr="00BA6D12" w:rsidRDefault="00321BCA" w:rsidP="00321BCA">
      <w:pPr>
        <w:rPr>
          <w:rFonts w:eastAsia="Times New Roman" w:cs="Times New Roman"/>
          <w:b/>
          <w:color w:val="222222"/>
          <w:sz w:val="28"/>
          <w:szCs w:val="28"/>
          <w:shd w:val="clear" w:color="auto" w:fill="FFFFFF"/>
        </w:rPr>
      </w:pPr>
      <w:bookmarkStart w:id="0" w:name="_GoBack"/>
      <w:r w:rsidRPr="00BA6D12">
        <w:rPr>
          <w:rFonts w:eastAsia="Times New Roman" w:cs="Times New Roman"/>
          <w:b/>
          <w:color w:val="222222"/>
          <w:sz w:val="28"/>
          <w:szCs w:val="28"/>
          <w:shd w:val="clear" w:color="auto" w:fill="FFFFFF"/>
        </w:rPr>
        <w:t>Planning for Learning: Using the IPA as an Instructional Focus</w:t>
      </w:r>
    </w:p>
    <w:bookmarkEnd w:id="0"/>
    <w:p w14:paraId="1C9D47DC" w14:textId="77777777" w:rsidR="00BF6EF3" w:rsidRPr="00EC30BE" w:rsidRDefault="00BF6EF3" w:rsidP="00321BCA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</w:p>
    <w:p w14:paraId="4FFFA970" w14:textId="5BEDFC65" w:rsidR="00BF6EF3" w:rsidRPr="00EC30BE" w:rsidRDefault="00BF6EF3" w:rsidP="00BF6EF3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  <w:r w:rsidRPr="00EC30BE">
        <w:rPr>
          <w:rFonts w:cs="Arial"/>
          <w:color w:val="1A1A1A"/>
          <w:sz w:val="22"/>
          <w:szCs w:val="22"/>
        </w:rPr>
        <w:t xml:space="preserve">Discuss the role of proficiency and performance in the classroom and explore </w:t>
      </w:r>
      <w:r w:rsidRPr="00EC30BE">
        <w:rPr>
          <w:rFonts w:cs="Arial"/>
          <w:color w:val="1A1A1A"/>
          <w:sz w:val="22"/>
          <w:szCs w:val="22"/>
        </w:rPr>
        <w:t xml:space="preserve">the implications for development </w:t>
      </w:r>
      <w:r w:rsidR="004D47F4" w:rsidRPr="00EC30BE">
        <w:rPr>
          <w:rFonts w:cs="Arial"/>
          <w:color w:val="1A1A1A"/>
          <w:sz w:val="22"/>
          <w:szCs w:val="22"/>
        </w:rPr>
        <w:t xml:space="preserve">and assessment </w:t>
      </w:r>
      <w:r w:rsidRPr="00EC30BE">
        <w:rPr>
          <w:rFonts w:cs="Arial"/>
          <w:color w:val="1A1A1A"/>
          <w:sz w:val="22"/>
          <w:szCs w:val="22"/>
        </w:rPr>
        <w:t xml:space="preserve">of </w:t>
      </w:r>
      <w:r w:rsidRPr="00EC30BE">
        <w:rPr>
          <w:rFonts w:cs="Arial"/>
          <w:color w:val="1A1A1A"/>
          <w:sz w:val="22"/>
          <w:szCs w:val="22"/>
        </w:rPr>
        <w:t xml:space="preserve">literacy skills in each mode of communication. </w:t>
      </w:r>
      <w:r w:rsidR="002B07D6" w:rsidRPr="00EC30BE">
        <w:rPr>
          <w:rFonts w:cs="Arial"/>
          <w:color w:val="1A1A1A"/>
          <w:sz w:val="22"/>
          <w:szCs w:val="22"/>
        </w:rPr>
        <w:t xml:space="preserve">Consider the role that the essential question plays when assessing linguistic and cultural skills. </w:t>
      </w:r>
      <w:r w:rsidRPr="00EC30BE">
        <w:rPr>
          <w:rFonts w:cs="Arial"/>
          <w:color w:val="1A1A1A"/>
          <w:sz w:val="22"/>
          <w:szCs w:val="22"/>
        </w:rPr>
        <w:t xml:space="preserve">Select authentic text and work with strategies </w:t>
      </w:r>
      <w:r w:rsidRPr="00EC30BE">
        <w:rPr>
          <w:rFonts w:cs="Helvetica Neue"/>
          <w:color w:val="000000" w:themeColor="text1"/>
          <w:sz w:val="22"/>
          <w:szCs w:val="22"/>
        </w:rPr>
        <w:t xml:space="preserve">that require learners to engage meaningfully with both literary and informational texts. </w:t>
      </w:r>
      <w:r w:rsidR="00471EC5" w:rsidRPr="00EC30BE">
        <w:rPr>
          <w:rFonts w:cs="Times New Roman"/>
          <w:bCs/>
          <w:color w:val="1A1A1A"/>
          <w:sz w:val="22"/>
          <w:szCs w:val="22"/>
        </w:rPr>
        <w:t>Consider how authentic text is used to create mini instructional IPAs.</w:t>
      </w:r>
      <w:r w:rsidR="00471EC5" w:rsidRPr="00EC30BE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 xml:space="preserve"> </w:t>
      </w:r>
      <w:r w:rsidRPr="00EC30BE">
        <w:rPr>
          <w:rFonts w:cs="Helvetica Neue"/>
          <w:color w:val="000000" w:themeColor="text1"/>
          <w:sz w:val="22"/>
          <w:szCs w:val="22"/>
        </w:rPr>
        <w:t xml:space="preserve">Engage in and discuss evidence-based practices for teaching writing to explain, persuade and convey experience. </w:t>
      </w:r>
      <w:r w:rsidRPr="00EC30BE">
        <w:rPr>
          <w:color w:val="000000"/>
          <w:sz w:val="22"/>
          <w:szCs w:val="22"/>
        </w:rPr>
        <w:t xml:space="preserve">Consider how interpersonal tasks are designed so that learners must negotiate meaning while increasing fluency, complexity of text and accuracy. </w:t>
      </w:r>
      <w:r w:rsidR="006246A5" w:rsidRPr="00EC30BE">
        <w:rPr>
          <w:color w:val="000000"/>
          <w:sz w:val="22"/>
          <w:szCs w:val="22"/>
        </w:rPr>
        <w:t>R</w:t>
      </w:r>
      <w:r w:rsidRPr="00EC30BE">
        <w:rPr>
          <w:color w:val="000000"/>
          <w:sz w:val="22"/>
          <w:szCs w:val="22"/>
        </w:rPr>
        <w:t>eflect on how standards-based grading align</w:t>
      </w:r>
      <w:r w:rsidR="004D47F4" w:rsidRPr="00EC30BE">
        <w:rPr>
          <w:color w:val="000000"/>
          <w:sz w:val="22"/>
          <w:szCs w:val="22"/>
        </w:rPr>
        <w:t>s</w:t>
      </w:r>
      <w:r w:rsidRPr="00EC30BE">
        <w:rPr>
          <w:color w:val="000000"/>
          <w:sz w:val="22"/>
          <w:szCs w:val="22"/>
        </w:rPr>
        <w:t xml:space="preserve"> with best practices in instruction and assessment.  </w:t>
      </w:r>
    </w:p>
    <w:p w14:paraId="4D49785E" w14:textId="77777777" w:rsidR="00BF6EF3" w:rsidRPr="00EC30BE" w:rsidRDefault="00BF6EF3" w:rsidP="00321BCA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BF6EF3" w:rsidRPr="00EC30BE" w14:paraId="6A124E73" w14:textId="77777777" w:rsidTr="00F4400B">
        <w:tc>
          <w:tcPr>
            <w:tcW w:w="5217" w:type="dxa"/>
          </w:tcPr>
          <w:p w14:paraId="58B6996D" w14:textId="77777777" w:rsidR="00BF6EF3" w:rsidRPr="00EC30BE" w:rsidRDefault="00BF6EF3" w:rsidP="00BF6EF3">
            <w:pPr>
              <w:jc w:val="center"/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  <w:t xml:space="preserve">Intended Outcomes </w:t>
            </w:r>
          </w:p>
          <w:p w14:paraId="2D9F1212" w14:textId="7028CABA" w:rsidR="00BF6EF3" w:rsidRPr="00EC30BE" w:rsidRDefault="00BF6EF3" w:rsidP="00BF6EF3">
            <w:pPr>
              <w:jc w:val="center"/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  <w:t>for Teachers</w:t>
            </w:r>
          </w:p>
        </w:tc>
        <w:tc>
          <w:tcPr>
            <w:tcW w:w="5218" w:type="dxa"/>
            <w:vAlign w:val="center"/>
          </w:tcPr>
          <w:p w14:paraId="4A84F75C" w14:textId="72238BC9" w:rsidR="00BF6EF3" w:rsidRPr="00EC30BE" w:rsidRDefault="00BF6EF3" w:rsidP="00F4400B">
            <w:pPr>
              <w:jc w:val="center"/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b/>
                <w:color w:val="222222"/>
                <w:sz w:val="22"/>
                <w:szCs w:val="22"/>
                <w:shd w:val="clear" w:color="auto" w:fill="FFFFFF"/>
              </w:rPr>
              <w:t>Connection to Student Learning Outcomes</w:t>
            </w:r>
          </w:p>
        </w:tc>
      </w:tr>
      <w:tr w:rsidR="00BF6EF3" w:rsidRPr="00EC30BE" w14:paraId="5F805020" w14:textId="77777777" w:rsidTr="00EC30BE">
        <w:tc>
          <w:tcPr>
            <w:tcW w:w="5217" w:type="dxa"/>
            <w:vAlign w:val="center"/>
          </w:tcPr>
          <w:p w14:paraId="5B587D4C" w14:textId="5C4EF4D0" w:rsidR="00BF6EF3" w:rsidRPr="00EC30BE" w:rsidRDefault="005D14C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Teachers will explain the difference between performance and proficiency.</w:t>
            </w:r>
          </w:p>
        </w:tc>
        <w:tc>
          <w:tcPr>
            <w:tcW w:w="5218" w:type="dxa"/>
          </w:tcPr>
          <w:p w14:paraId="6CCBBF8C" w14:textId="53744B51" w:rsidR="00BF6EF3" w:rsidRPr="00EC30BE" w:rsidRDefault="005D14CA" w:rsidP="00321BCA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Students will identify their current performance level and be able to identify next steps in terms of growth</w:t>
            </w:r>
            <w:r w:rsidR="00B95CE6"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 for each mode of communication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. </w:t>
            </w:r>
          </w:p>
        </w:tc>
      </w:tr>
      <w:tr w:rsidR="0020026A" w:rsidRPr="00EC30BE" w14:paraId="6B115F6C" w14:textId="77777777" w:rsidTr="00EC30BE">
        <w:tc>
          <w:tcPr>
            <w:tcW w:w="5217" w:type="dxa"/>
          </w:tcPr>
          <w:p w14:paraId="56E41A71" w14:textId="53602AA7" w:rsidR="0020026A" w:rsidRPr="00EC30BE" w:rsidRDefault="0020026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Teachers will explain the rationale for a standards-based grading system that reports performance for each mode of communication.  </w:t>
            </w:r>
          </w:p>
        </w:tc>
        <w:tc>
          <w:tcPr>
            <w:tcW w:w="5218" w:type="dxa"/>
            <w:vAlign w:val="center"/>
          </w:tcPr>
          <w:p w14:paraId="07D7562B" w14:textId="2B51370A" w:rsidR="0020026A" w:rsidRPr="00EC30BE" w:rsidRDefault="0020026A" w:rsidP="00321BCA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Students will use feedback from rubrics and grades to set personal goals for growth. </w:t>
            </w:r>
          </w:p>
        </w:tc>
      </w:tr>
      <w:tr w:rsidR="0020026A" w:rsidRPr="00EC30BE" w14:paraId="05F4B55E" w14:textId="77777777" w:rsidTr="00EC30BE">
        <w:tc>
          <w:tcPr>
            <w:tcW w:w="5217" w:type="dxa"/>
            <w:vAlign w:val="center"/>
          </w:tcPr>
          <w:p w14:paraId="13D4D19F" w14:textId="58636971" w:rsidR="0020026A" w:rsidRPr="00EC30BE" w:rsidRDefault="0020026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Teachers will use unit essential questions to anchor unit goals and assessments. </w:t>
            </w:r>
          </w:p>
        </w:tc>
        <w:tc>
          <w:tcPr>
            <w:tcW w:w="5218" w:type="dxa"/>
          </w:tcPr>
          <w:p w14:paraId="667A895D" w14:textId="018EB58C" w:rsidR="0020026A" w:rsidRPr="00EC30BE" w:rsidRDefault="0020026A" w:rsidP="00471EC5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Students will demonstrate an ability to address aspects of the essential question through the application of 21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  <w:vertAlign w:val="superscript"/>
              </w:rPr>
              <w:t>st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 Century Skills.  </w:t>
            </w:r>
          </w:p>
        </w:tc>
      </w:tr>
      <w:tr w:rsidR="0020026A" w:rsidRPr="00EC30BE" w14:paraId="4D2FB617" w14:textId="77777777" w:rsidTr="00EC30BE">
        <w:tc>
          <w:tcPr>
            <w:tcW w:w="5217" w:type="dxa"/>
          </w:tcPr>
          <w:p w14:paraId="588EB59D" w14:textId="5451F836" w:rsidR="0020026A" w:rsidRPr="00EC30BE" w:rsidRDefault="0020026A" w:rsidP="00B95CE6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Teachers will apply literacy strategies when working with authentic texts.  to anchor learning activities and for assessment. Participants will analyze assessments designed to address both literal and interpretive comprehension.</w:t>
            </w:r>
          </w:p>
        </w:tc>
        <w:tc>
          <w:tcPr>
            <w:tcW w:w="5218" w:type="dxa"/>
            <w:vAlign w:val="center"/>
          </w:tcPr>
          <w:p w14:paraId="75DA27A4" w14:textId="4E8903AF" w:rsidR="0020026A" w:rsidRPr="00EC30BE" w:rsidRDefault="0020026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Students will demonstrate growth in interpretive communication.</w:t>
            </w:r>
          </w:p>
        </w:tc>
      </w:tr>
      <w:tr w:rsidR="0020026A" w:rsidRPr="00EC30BE" w14:paraId="33B247E1" w14:textId="77777777" w:rsidTr="00EC30BE">
        <w:trPr>
          <w:trHeight w:val="611"/>
        </w:trPr>
        <w:tc>
          <w:tcPr>
            <w:tcW w:w="5217" w:type="dxa"/>
          </w:tcPr>
          <w:p w14:paraId="3A695F68" w14:textId="4E044097" w:rsidR="0020026A" w:rsidRPr="00EC30BE" w:rsidRDefault="0020026A" w:rsidP="00B95CE6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Teachers will identify strategies for developing interpersonal communication and will determine how the interpersonal mode will be assessed  </w:t>
            </w:r>
          </w:p>
        </w:tc>
        <w:tc>
          <w:tcPr>
            <w:tcW w:w="5218" w:type="dxa"/>
            <w:vAlign w:val="center"/>
          </w:tcPr>
          <w:p w14:paraId="777DE475" w14:textId="55B0F63C" w:rsidR="0020026A" w:rsidRPr="00EC30BE" w:rsidRDefault="0020026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Students will demonstrate growth in 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interpersonal communication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20026A" w:rsidRPr="00EC30BE" w14:paraId="6FACC4A8" w14:textId="77777777" w:rsidTr="00EC30BE">
        <w:tc>
          <w:tcPr>
            <w:tcW w:w="5217" w:type="dxa"/>
          </w:tcPr>
          <w:p w14:paraId="597C4174" w14:textId="425881A8" w:rsidR="0020026A" w:rsidRPr="00EC30BE" w:rsidRDefault="0020026A" w:rsidP="00321BCA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Teachers will identify writing strategies that allow students to grow from phrase to sentence to paragraph when writing to explain, persuade and convey experience.</w:t>
            </w:r>
          </w:p>
        </w:tc>
        <w:tc>
          <w:tcPr>
            <w:tcW w:w="5218" w:type="dxa"/>
            <w:vAlign w:val="center"/>
          </w:tcPr>
          <w:p w14:paraId="0EE7DA42" w14:textId="00C6199C" w:rsidR="0020026A" w:rsidRPr="00EC30BE" w:rsidRDefault="0020026A" w:rsidP="00F76EE3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Students will demonstrate growth in 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presentational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 communication</w:t>
            </w: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20026A" w:rsidRPr="00EC30BE" w14:paraId="297D7DA2" w14:textId="77777777" w:rsidTr="00EC30BE">
        <w:tc>
          <w:tcPr>
            <w:tcW w:w="5217" w:type="dxa"/>
          </w:tcPr>
          <w:p w14:paraId="52014117" w14:textId="5AC52282" w:rsidR="0020026A" w:rsidRPr="00EC30BE" w:rsidRDefault="0020026A" w:rsidP="00321BCA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Teachers will analyze performance tasks and assessments designed to measure cultural awareness and understanding. </w:t>
            </w:r>
          </w:p>
        </w:tc>
        <w:tc>
          <w:tcPr>
            <w:tcW w:w="5218" w:type="dxa"/>
          </w:tcPr>
          <w:p w14:paraId="152AE41A" w14:textId="5743B009" w:rsidR="0020026A" w:rsidRPr="00EC30BE" w:rsidRDefault="0020026A" w:rsidP="00B95CE6">
            <w:pPr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</w:pPr>
            <w:r w:rsidRPr="00EC30BE">
              <w:rPr>
                <w:rFonts w:eastAsia="Times New Roman" w:cs="Times New Roman"/>
                <w:color w:val="222222"/>
                <w:sz w:val="22"/>
                <w:szCs w:val="22"/>
                <w:shd w:val="clear" w:color="auto" w:fill="FFFFFF"/>
              </w:rPr>
              <w:t xml:space="preserve">Students will demonstrate increasing cultural competence through assessments that promote investigation of other cultures and their own. </w:t>
            </w:r>
          </w:p>
        </w:tc>
      </w:tr>
    </w:tbl>
    <w:p w14:paraId="169B963A" w14:textId="77777777" w:rsidR="00BF6EF3" w:rsidRPr="00EC30BE" w:rsidRDefault="00BF6EF3" w:rsidP="00321BCA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</w:p>
    <w:p w14:paraId="0F095936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74B032E6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269D89EF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04C14A5A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064E1ED6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7E01BDCC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23DB34F2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2B8AE8E1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0B14C5BA" w14:textId="77777777" w:rsidR="00F4400B" w:rsidRDefault="00F4400B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65B94376" w14:textId="228C4FB3" w:rsidR="0020026A" w:rsidRPr="00EC30BE" w:rsidRDefault="0020026A" w:rsidP="00321BCA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  <w:r w:rsidRPr="00EC30BE"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  <w:lastRenderedPageBreak/>
        <w:t>Agenda</w:t>
      </w:r>
    </w:p>
    <w:p w14:paraId="0F5DF4FD" w14:textId="77777777" w:rsidR="0020026A" w:rsidRPr="00EC30BE" w:rsidRDefault="0020026A" w:rsidP="00321BCA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</w:p>
    <w:p w14:paraId="2CD440DF" w14:textId="265F4D82" w:rsidR="0020026A" w:rsidRDefault="0020026A" w:rsidP="0020026A">
      <w:pPr>
        <w:rPr>
          <w:sz w:val="22"/>
          <w:szCs w:val="22"/>
        </w:rPr>
      </w:pPr>
      <w:r w:rsidRPr="00EC30BE"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  <w:t>Part 1</w:t>
      </w:r>
      <w:r w:rsidRPr="00EC30BE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 xml:space="preserve">: </w:t>
      </w:r>
      <w:r w:rsidRPr="00EC30BE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ab/>
      </w:r>
      <w:r w:rsidR="00995C0C" w:rsidRPr="00EC30BE">
        <w:rPr>
          <w:sz w:val="22"/>
          <w:szCs w:val="22"/>
        </w:rPr>
        <w:t xml:space="preserve">What is the difference between performance and proficiency and what are the </w:t>
      </w:r>
      <w:r w:rsidRPr="00EC30BE">
        <w:rPr>
          <w:sz w:val="22"/>
          <w:szCs w:val="22"/>
        </w:rPr>
        <w:tab/>
      </w:r>
      <w:r w:rsidRPr="00EC30BE">
        <w:rPr>
          <w:sz w:val="22"/>
          <w:szCs w:val="22"/>
        </w:rPr>
        <w:tab/>
      </w:r>
      <w:r w:rsidRPr="00EC30BE">
        <w:rPr>
          <w:sz w:val="22"/>
          <w:szCs w:val="22"/>
        </w:rPr>
        <w:tab/>
      </w:r>
      <w:r w:rsidRPr="00EC30BE">
        <w:rPr>
          <w:sz w:val="22"/>
          <w:szCs w:val="22"/>
        </w:rPr>
        <w:tab/>
      </w:r>
      <w:r w:rsidR="00995C0C" w:rsidRPr="00EC30BE">
        <w:rPr>
          <w:sz w:val="22"/>
          <w:szCs w:val="22"/>
        </w:rPr>
        <w:t>implications for</w:t>
      </w:r>
      <w:r w:rsidRPr="00EC30BE">
        <w:rPr>
          <w:sz w:val="22"/>
          <w:szCs w:val="22"/>
        </w:rPr>
        <w:t xml:space="preserve"> </w:t>
      </w:r>
      <w:r w:rsidR="00995C0C" w:rsidRPr="00EC30BE">
        <w:rPr>
          <w:sz w:val="22"/>
          <w:szCs w:val="22"/>
        </w:rPr>
        <w:t>assessment and grading?</w:t>
      </w:r>
      <w:r w:rsidR="00EC30BE" w:rsidRPr="00EC30BE">
        <w:rPr>
          <w:sz w:val="22"/>
          <w:szCs w:val="22"/>
        </w:rPr>
        <w:t xml:space="preserve"> </w:t>
      </w:r>
      <w:r w:rsidR="00EC30BE" w:rsidRPr="00EC30BE">
        <w:rPr>
          <w:sz w:val="22"/>
          <w:szCs w:val="22"/>
        </w:rPr>
        <w:t xml:space="preserve">How do I use proficiency guidelines and </w:t>
      </w:r>
      <w:r w:rsidR="00EC30BE" w:rsidRPr="00EC30BE">
        <w:rPr>
          <w:sz w:val="22"/>
          <w:szCs w:val="22"/>
        </w:rPr>
        <w:tab/>
      </w:r>
      <w:r w:rsidR="00EC30BE" w:rsidRPr="00EC30BE">
        <w:rPr>
          <w:sz w:val="22"/>
          <w:szCs w:val="22"/>
        </w:rPr>
        <w:tab/>
      </w:r>
      <w:r w:rsidR="00EC30BE" w:rsidRPr="00EC30BE">
        <w:rPr>
          <w:sz w:val="22"/>
          <w:szCs w:val="22"/>
        </w:rPr>
        <w:tab/>
        <w:t>performance domains</w:t>
      </w:r>
      <w:r w:rsidR="00EC30BE" w:rsidRPr="00EC30BE">
        <w:rPr>
          <w:sz w:val="22"/>
          <w:szCs w:val="22"/>
        </w:rPr>
        <w:t xml:space="preserve"> to advance student learning?</w:t>
      </w:r>
    </w:p>
    <w:p w14:paraId="36F216B6" w14:textId="77777777" w:rsidR="00F4400B" w:rsidRPr="00EC30BE" w:rsidRDefault="00F4400B" w:rsidP="0020026A">
      <w:pPr>
        <w:rPr>
          <w:sz w:val="22"/>
          <w:szCs w:val="22"/>
        </w:rPr>
      </w:pPr>
    </w:p>
    <w:p w14:paraId="240B09FE" w14:textId="6DF40770" w:rsidR="0020026A" w:rsidRPr="00EC30BE" w:rsidRDefault="0020026A" w:rsidP="0020026A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Performance Toward Proficiency</w:t>
      </w:r>
    </w:p>
    <w:p w14:paraId="522E01A6" w14:textId="51EE90A4" w:rsidR="0020026A" w:rsidRPr="00EC30BE" w:rsidRDefault="0020026A" w:rsidP="0020026A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From Skills to Modes</w:t>
      </w:r>
    </w:p>
    <w:p w14:paraId="45CE346B" w14:textId="026E1384" w:rsidR="0020026A" w:rsidRPr="00EC30BE" w:rsidRDefault="0020026A" w:rsidP="0020026A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Standards-based Grading Considerations</w:t>
      </w:r>
    </w:p>
    <w:p w14:paraId="482FB9AC" w14:textId="43A93236" w:rsidR="0020026A" w:rsidRDefault="0020026A" w:rsidP="0020026A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 xml:space="preserve">Role of Authentic Text </w:t>
      </w:r>
      <w:r w:rsidR="00F029FB">
        <w:rPr>
          <w:sz w:val="22"/>
          <w:szCs w:val="22"/>
        </w:rPr>
        <w:t xml:space="preserve">and Images </w:t>
      </w:r>
      <w:r w:rsidRPr="00EC30BE">
        <w:rPr>
          <w:sz w:val="22"/>
          <w:szCs w:val="22"/>
        </w:rPr>
        <w:t>in designing instructional IPAs</w:t>
      </w:r>
    </w:p>
    <w:p w14:paraId="005E090E" w14:textId="77777777" w:rsidR="00F4400B" w:rsidRPr="00F4400B" w:rsidRDefault="00F4400B" w:rsidP="00F4400B">
      <w:pPr>
        <w:rPr>
          <w:sz w:val="22"/>
          <w:szCs w:val="22"/>
        </w:rPr>
      </w:pPr>
    </w:p>
    <w:p w14:paraId="577C5C5B" w14:textId="50026B90" w:rsidR="0020026A" w:rsidRPr="00EC30BE" w:rsidRDefault="0020026A" w:rsidP="0020026A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2:</w:t>
      </w:r>
      <w:r w:rsidRPr="00EC30BE">
        <w:rPr>
          <w:sz w:val="22"/>
          <w:szCs w:val="22"/>
        </w:rPr>
        <w:t xml:space="preserve"> </w:t>
      </w:r>
      <w:r w:rsidRPr="00EC30BE">
        <w:rPr>
          <w:sz w:val="22"/>
          <w:szCs w:val="22"/>
        </w:rPr>
        <w:tab/>
        <w:t>What is the purpose of the essential question?</w:t>
      </w:r>
    </w:p>
    <w:p w14:paraId="65C97CFB" w14:textId="77777777" w:rsidR="0020026A" w:rsidRPr="00EC30BE" w:rsidRDefault="0020026A" w:rsidP="0020026A">
      <w:pPr>
        <w:rPr>
          <w:sz w:val="22"/>
          <w:szCs w:val="22"/>
        </w:rPr>
      </w:pPr>
    </w:p>
    <w:p w14:paraId="25DB24C9" w14:textId="446F284E" w:rsidR="0020026A" w:rsidRPr="00EC30BE" w:rsidRDefault="0020026A" w:rsidP="00F440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>Development of an Essential Question</w:t>
      </w:r>
    </w:p>
    <w:p w14:paraId="776A049C" w14:textId="60522D12" w:rsidR="0020026A" w:rsidRPr="00EC30BE" w:rsidRDefault="0020026A" w:rsidP="00F440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>Using the Essential Question to Develop Learning Experiences and Assessments</w:t>
      </w:r>
    </w:p>
    <w:p w14:paraId="393FD16E" w14:textId="626DC9C4" w:rsidR="0020026A" w:rsidRPr="00EC30BE" w:rsidRDefault="0020026A" w:rsidP="00F440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 xml:space="preserve">Using the Essential Question to Develop </w:t>
      </w:r>
      <w:r w:rsidR="00F029FB">
        <w:rPr>
          <w:sz w:val="22"/>
          <w:szCs w:val="22"/>
        </w:rPr>
        <w:t>Cultural Awareness</w:t>
      </w:r>
    </w:p>
    <w:p w14:paraId="7DCC9E71" w14:textId="77777777" w:rsidR="0020026A" w:rsidRPr="00EC30BE" w:rsidRDefault="0020026A" w:rsidP="0020026A">
      <w:pPr>
        <w:rPr>
          <w:sz w:val="22"/>
          <w:szCs w:val="22"/>
        </w:rPr>
      </w:pPr>
    </w:p>
    <w:p w14:paraId="033DB166" w14:textId="02FE80A5" w:rsidR="00EC30BE" w:rsidRDefault="0020026A" w:rsidP="00EC30BE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3:</w:t>
      </w:r>
      <w:r w:rsidRPr="00EC30BE">
        <w:rPr>
          <w:sz w:val="22"/>
          <w:szCs w:val="22"/>
        </w:rPr>
        <w:t xml:space="preserve">  </w:t>
      </w:r>
      <w:r w:rsidR="00EC30BE">
        <w:rPr>
          <w:sz w:val="22"/>
          <w:szCs w:val="22"/>
        </w:rPr>
        <w:tab/>
      </w:r>
      <w:r w:rsidRPr="00EC30BE">
        <w:rPr>
          <w:sz w:val="22"/>
          <w:szCs w:val="22"/>
        </w:rPr>
        <w:t xml:space="preserve">How do I develop and assess performance in </w:t>
      </w:r>
      <w:r w:rsidRPr="00EC30BE">
        <w:rPr>
          <w:sz w:val="22"/>
          <w:szCs w:val="22"/>
        </w:rPr>
        <w:t>the interpretive mod</w:t>
      </w:r>
      <w:r w:rsidR="00EC30BE" w:rsidRPr="00EC30BE">
        <w:rPr>
          <w:sz w:val="22"/>
          <w:szCs w:val="22"/>
        </w:rPr>
        <w:t>e?</w:t>
      </w:r>
    </w:p>
    <w:p w14:paraId="3AA3C55D" w14:textId="77777777" w:rsidR="00F4400B" w:rsidRPr="00EC30BE" w:rsidRDefault="00F4400B" w:rsidP="00EC30BE">
      <w:pPr>
        <w:rPr>
          <w:sz w:val="22"/>
          <w:szCs w:val="22"/>
        </w:rPr>
      </w:pPr>
    </w:p>
    <w:p w14:paraId="1E15C3E3" w14:textId="77777777" w:rsidR="00EC30BE" w:rsidRPr="00EC30BE" w:rsidRDefault="00EC30BE" w:rsidP="00F440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Interpretive reading/listening</w:t>
      </w:r>
      <w:r w:rsidRPr="00EC30BE">
        <w:rPr>
          <w:sz w:val="22"/>
          <w:szCs w:val="22"/>
        </w:rPr>
        <w:t>/viewing</w:t>
      </w:r>
      <w:r w:rsidRPr="00EC30BE">
        <w:rPr>
          <w:sz w:val="22"/>
          <w:szCs w:val="22"/>
        </w:rPr>
        <w:t xml:space="preserve"> - before, du</w:t>
      </w:r>
      <w:r w:rsidRPr="00EC30BE">
        <w:rPr>
          <w:sz w:val="22"/>
          <w:szCs w:val="22"/>
        </w:rPr>
        <w:t>ring and after strategies</w:t>
      </w:r>
    </w:p>
    <w:p w14:paraId="371C2007" w14:textId="77777777" w:rsidR="00EC30BE" w:rsidRPr="00EC30BE" w:rsidRDefault="00EC30BE" w:rsidP="00F440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0452C23F" w14:textId="4D058389" w:rsidR="00EC30BE" w:rsidRPr="00EC30BE" w:rsidRDefault="00EC30BE" w:rsidP="00F440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Interpretive rubrics</w:t>
      </w:r>
    </w:p>
    <w:p w14:paraId="3CCA80D2" w14:textId="77777777" w:rsidR="00EC30BE" w:rsidRPr="00EC30BE" w:rsidRDefault="00EC30BE" w:rsidP="0020026A">
      <w:pPr>
        <w:rPr>
          <w:sz w:val="22"/>
          <w:szCs w:val="22"/>
        </w:rPr>
      </w:pPr>
    </w:p>
    <w:p w14:paraId="7C8DA821" w14:textId="452488D0" w:rsidR="00EC30BE" w:rsidRDefault="00EC30BE" w:rsidP="00EC30BE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4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 xml:space="preserve">How do I develop and assess performance in the </w:t>
      </w:r>
      <w:r w:rsidRPr="00EC30BE">
        <w:rPr>
          <w:sz w:val="22"/>
          <w:szCs w:val="22"/>
        </w:rPr>
        <w:t>interpersonal</w:t>
      </w:r>
      <w:r w:rsidRPr="00EC30BE">
        <w:rPr>
          <w:sz w:val="22"/>
          <w:szCs w:val="22"/>
        </w:rPr>
        <w:t xml:space="preserve"> mode?</w:t>
      </w:r>
    </w:p>
    <w:p w14:paraId="37D749B1" w14:textId="77777777" w:rsidR="00F4400B" w:rsidRPr="00EC30BE" w:rsidRDefault="00F4400B" w:rsidP="00EC30BE">
      <w:pPr>
        <w:rPr>
          <w:sz w:val="22"/>
          <w:szCs w:val="22"/>
        </w:rPr>
      </w:pPr>
    </w:p>
    <w:p w14:paraId="15251AFF" w14:textId="1C1CF9E5" w:rsidR="00EC30BE" w:rsidRPr="00EC30BE" w:rsidRDefault="00995C0C" w:rsidP="00EC30BE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Development of key skills - asking questions and follow-up, expanding answers, circumlocutio</w:t>
      </w:r>
      <w:r w:rsidR="00EC30BE" w:rsidRPr="00EC30BE">
        <w:rPr>
          <w:sz w:val="22"/>
          <w:szCs w:val="22"/>
        </w:rPr>
        <w:t>n</w:t>
      </w:r>
    </w:p>
    <w:p w14:paraId="19F0D821" w14:textId="6EE1DEBD" w:rsidR="00995C0C" w:rsidRPr="00EC30BE" w:rsidRDefault="00995C0C" w:rsidP="00EC30BE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Functional vocabulary stems</w:t>
      </w:r>
    </w:p>
    <w:p w14:paraId="113C189C" w14:textId="77777777" w:rsidR="00EC30BE" w:rsidRPr="00EC30BE" w:rsidRDefault="00EC30BE" w:rsidP="00EC30BE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589618A3" w14:textId="0872C256" w:rsidR="00EC30BE" w:rsidRPr="00EC30BE" w:rsidRDefault="00EC30BE" w:rsidP="00EC30BE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Interpersonal rubrics</w:t>
      </w:r>
    </w:p>
    <w:p w14:paraId="1AEDCE5A" w14:textId="77777777" w:rsidR="00BF6EF3" w:rsidRPr="00EC30BE" w:rsidRDefault="00BF6EF3" w:rsidP="00BF6EF3">
      <w:pPr>
        <w:rPr>
          <w:color w:val="000000"/>
          <w:sz w:val="22"/>
          <w:szCs w:val="22"/>
        </w:rPr>
      </w:pPr>
    </w:p>
    <w:p w14:paraId="1355E0A8" w14:textId="3B0BEFD1" w:rsidR="00EC30BE" w:rsidRDefault="00EC30BE" w:rsidP="00EC30BE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5: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 xml:space="preserve">How do I develop and assess performance in the </w:t>
      </w:r>
      <w:r w:rsidRPr="00EC30BE">
        <w:rPr>
          <w:sz w:val="22"/>
          <w:szCs w:val="22"/>
        </w:rPr>
        <w:t>presentational</w:t>
      </w:r>
      <w:r w:rsidRPr="00EC30BE">
        <w:rPr>
          <w:sz w:val="22"/>
          <w:szCs w:val="22"/>
        </w:rPr>
        <w:t xml:space="preserve"> mode?</w:t>
      </w:r>
    </w:p>
    <w:p w14:paraId="5932DB06" w14:textId="77777777" w:rsidR="00F4400B" w:rsidRPr="00EC30BE" w:rsidRDefault="00F4400B" w:rsidP="00EC30BE">
      <w:pPr>
        <w:rPr>
          <w:sz w:val="22"/>
          <w:szCs w:val="22"/>
        </w:rPr>
      </w:pPr>
    </w:p>
    <w:p w14:paraId="3397674A" w14:textId="77777777" w:rsidR="00EC30BE" w:rsidRPr="00EC30BE" w:rsidRDefault="00EC30BE" w:rsidP="00F4400B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Development of key skills - from sentence to paragraph</w:t>
      </w:r>
    </w:p>
    <w:p w14:paraId="526241F2" w14:textId="77777777" w:rsidR="00EC30BE" w:rsidRPr="00EC30BE" w:rsidRDefault="00EC30BE" w:rsidP="00F4400B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1E88C65F" w14:textId="77777777" w:rsidR="00EC30BE" w:rsidRPr="00EC30BE" w:rsidRDefault="00EC30BE" w:rsidP="00F4400B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Presentational rubrics</w:t>
      </w:r>
    </w:p>
    <w:p w14:paraId="24A20569" w14:textId="77777777" w:rsidR="00EC30BE" w:rsidRPr="00EC30BE" w:rsidRDefault="00EC30BE" w:rsidP="00EC30BE">
      <w:pPr>
        <w:ind w:left="720"/>
        <w:rPr>
          <w:color w:val="000000"/>
          <w:sz w:val="22"/>
          <w:szCs w:val="22"/>
        </w:rPr>
      </w:pPr>
    </w:p>
    <w:p w14:paraId="65C36065" w14:textId="77777777" w:rsidR="00EC30BE" w:rsidRPr="00EC30BE" w:rsidRDefault="00EC30BE" w:rsidP="00BF6EF3">
      <w:pPr>
        <w:rPr>
          <w:color w:val="000000"/>
          <w:sz w:val="22"/>
          <w:szCs w:val="22"/>
        </w:rPr>
      </w:pPr>
    </w:p>
    <w:p w14:paraId="674CF893" w14:textId="77777777" w:rsidR="00BF6EF3" w:rsidRPr="00EC30BE" w:rsidRDefault="00BF6EF3" w:rsidP="00BF6EF3">
      <w:pPr>
        <w:widowControl w:val="0"/>
        <w:autoSpaceDE w:val="0"/>
        <w:autoSpaceDN w:val="0"/>
        <w:adjustRightInd w:val="0"/>
        <w:rPr>
          <w:rFonts w:cs="Times New Roman"/>
          <w:color w:val="141414"/>
          <w:sz w:val="22"/>
          <w:szCs w:val="22"/>
        </w:rPr>
      </w:pPr>
    </w:p>
    <w:p w14:paraId="70286DEB" w14:textId="77777777" w:rsidR="00D97F66" w:rsidRPr="00EC30BE" w:rsidRDefault="00BA6D12" w:rsidP="00BF6EF3">
      <w:pPr>
        <w:rPr>
          <w:sz w:val="22"/>
          <w:szCs w:val="22"/>
        </w:rPr>
      </w:pPr>
    </w:p>
    <w:sectPr w:rsidR="00D97F66" w:rsidRPr="00EC30BE" w:rsidSect="00EC30B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B36A8"/>
    <w:multiLevelType w:val="hybridMultilevel"/>
    <w:tmpl w:val="1946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D40F0"/>
    <w:multiLevelType w:val="hybridMultilevel"/>
    <w:tmpl w:val="163A0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3643BD"/>
    <w:multiLevelType w:val="hybridMultilevel"/>
    <w:tmpl w:val="CBEA7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812C0"/>
    <w:multiLevelType w:val="hybridMultilevel"/>
    <w:tmpl w:val="0826FD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CA34E3C"/>
    <w:multiLevelType w:val="hybridMultilevel"/>
    <w:tmpl w:val="17EE8EBA"/>
    <w:lvl w:ilvl="0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</w:abstractNum>
  <w:abstractNum w:abstractNumId="5">
    <w:nsid w:val="6A2A0E0C"/>
    <w:multiLevelType w:val="hybridMultilevel"/>
    <w:tmpl w:val="4866C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A7C5248"/>
    <w:multiLevelType w:val="hybridMultilevel"/>
    <w:tmpl w:val="C61E1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30060E"/>
    <w:multiLevelType w:val="hybridMultilevel"/>
    <w:tmpl w:val="DCB245B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CA"/>
    <w:rsid w:val="000943B5"/>
    <w:rsid w:val="001C2771"/>
    <w:rsid w:val="0020026A"/>
    <w:rsid w:val="002874CD"/>
    <w:rsid w:val="002A703B"/>
    <w:rsid w:val="002B07D6"/>
    <w:rsid w:val="002E5283"/>
    <w:rsid w:val="00321BCA"/>
    <w:rsid w:val="00434CAD"/>
    <w:rsid w:val="00471EC5"/>
    <w:rsid w:val="004D47F4"/>
    <w:rsid w:val="005D14CA"/>
    <w:rsid w:val="006246A5"/>
    <w:rsid w:val="00651077"/>
    <w:rsid w:val="00681769"/>
    <w:rsid w:val="006B0258"/>
    <w:rsid w:val="007F3C82"/>
    <w:rsid w:val="0082095A"/>
    <w:rsid w:val="00880A73"/>
    <w:rsid w:val="00905DC2"/>
    <w:rsid w:val="00963E28"/>
    <w:rsid w:val="00995C0C"/>
    <w:rsid w:val="00B40024"/>
    <w:rsid w:val="00B62A90"/>
    <w:rsid w:val="00B6486D"/>
    <w:rsid w:val="00B95CE6"/>
    <w:rsid w:val="00BA6D12"/>
    <w:rsid w:val="00BF6EF3"/>
    <w:rsid w:val="00CB5547"/>
    <w:rsid w:val="00CD612D"/>
    <w:rsid w:val="00E34FCB"/>
    <w:rsid w:val="00EC30BE"/>
    <w:rsid w:val="00F029FB"/>
    <w:rsid w:val="00F4400B"/>
    <w:rsid w:val="00F76EE3"/>
    <w:rsid w:val="00F77B34"/>
    <w:rsid w:val="00FF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4B5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D612D"/>
  </w:style>
  <w:style w:type="character" w:customStyle="1" w:styleId="aqj">
    <w:name w:val="aqj"/>
    <w:basedOn w:val="DefaultParagraphFont"/>
    <w:rsid w:val="00CD612D"/>
  </w:style>
  <w:style w:type="paragraph" w:styleId="ListParagraph">
    <w:name w:val="List Paragraph"/>
    <w:basedOn w:val="Normal"/>
    <w:uiPriority w:val="34"/>
    <w:qFormat/>
    <w:rsid w:val="00995C0C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BF6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4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576</Words>
  <Characters>3289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8</cp:revision>
  <dcterms:created xsi:type="dcterms:W3CDTF">2017-06-19T14:51:00Z</dcterms:created>
  <dcterms:modified xsi:type="dcterms:W3CDTF">2017-06-24T03:36:00Z</dcterms:modified>
</cp:coreProperties>
</file>